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1f497d"/>
          <w:sz w:val="56"/>
          <w:szCs w:val="5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56"/>
          <w:szCs w:val="56"/>
          <w:highlight w:val="white"/>
          <w:rtl w:val="0"/>
        </w:rPr>
        <w:t xml:space="preserve">Консультация для родителей: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1f497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56"/>
          <w:szCs w:val="5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660066"/>
          <w:sz w:val="56"/>
          <w:szCs w:val="56"/>
          <w:highlight w:val="white"/>
          <w:rtl w:val="0"/>
        </w:rPr>
        <w:t xml:space="preserve">«Безопасность детей в сети интернет»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color w:val="000000"/>
          <w:sz w:val="21"/>
          <w:szCs w:val="21"/>
          <w:highlight w:val="white"/>
        </w:rPr>
        <w:drawing>
          <wp:inline distB="0" distT="0" distL="0" distR="0">
            <wp:extent cx="4524375" cy="3522186"/>
            <wp:effectExtent b="190500" l="190500" r="190500" t="190500"/>
            <wp:docPr descr="C:\Users\Администратор\Desktop\4.jpg" id="1" name="image1.png"/>
            <a:graphic>
              <a:graphicData uri="http://schemas.openxmlformats.org/drawingml/2006/picture">
                <pic:pic>
                  <pic:nvPicPr>
                    <pic:cNvPr descr="C:\Users\Администратор\Desktop\4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522186"/>
                    </a:xfrm>
                    <a:prstGeom prst="rect"/>
                    <a:ln w="190500">
                      <a:solidFill>
                        <a:srgbClr val="C8C6B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Подготовила воспитатель Кутлумбетова Р.Р.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21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ваши дети пользуются Интернетом, а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 – 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 Безопасное использование интернета в соответствии с возрастом  Дети до 7 лет. 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 Дети до 7 лет могут не полностью понимать информацию, доступную в Интернете, и, например, не отличать рекламу от действительного содержимого. В этом возрасте родителям необходимо помогать детям в поиске подходящего материала. Дети часто не видят разницы между использованием Интернета и играми или рисованием на компьютере. 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color w:val="1f497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28"/>
          <w:szCs w:val="28"/>
          <w:rtl w:val="0"/>
        </w:rPr>
        <w:t xml:space="preserve">Памятка для родителей «Безопасный Интернет»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Правило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Внимательно относитесь к действиям ваших детей в «мировой паутине»: Не отправляйте детей в «свободное плавание» по Интернету. Старайтесь активно участвовать в общении ребенка с Интернет, особенно на этапе освоения. Беседуйте с ребенком о том, что нового для себя он узнает с помощью Интернет, чтобы вовремя предупредить угрозу.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Правило 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Информируйте ребенка о возможностях и опасностях, которые несет в себе сеть: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 Научите ребенка искать нужную ему информацию и проверять ее, в том числе с вашей помощью. Научите ребенка внимательно относиться к скачиванию платной информации и получению платных услуг из Интернет, особенно путем отправки sms, – во избежание потери денег. Сформируйте список полезных, интересных, безопасных ресурсов, которыми может пользоваться ваш ребенок, и посоветуйте их использовать.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Правило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Выберите удобную форму контроля пребывания вашего ребенка в Сети: Установите на ваш компьютер необходимое программное обеспечение – решение родительского контроля и антивирус. Если ваш ребенок остается часто дома один, ограничьте время пребывания вашего ребенка в Интернете. Если компьютер используется всеми членами семьи, установите его в месте, доступном для всех членов семьи, а не в комнате ребенка.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Правило 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Регулярно повышайте уровень компьютерной грамотности, чтобы знать, как обеспечить безопасность детей. 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3861469" cy="2871349"/>
            <wp:effectExtent b="190500" l="190500" r="190500" t="190500"/>
            <wp:docPr descr="C:\Users\Администратор\Desktop\3.jpg" id="2" name="image2.png"/>
            <a:graphic>
              <a:graphicData uri="http://schemas.openxmlformats.org/drawingml/2006/picture">
                <pic:pic>
                  <pic:nvPicPr>
                    <pic:cNvPr descr="C:\Users\Администратор\Desktop\3.jp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1469" cy="2871349"/>
                    </a:xfrm>
                    <a:prstGeom prst="rect"/>
                    <a:ln w="190500">
                      <a:solidFill>
                        <a:srgbClr val="C8C6BD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color w:val="000000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48"/>
          <w:szCs w:val="48"/>
          <w:rtl w:val="0"/>
        </w:rPr>
        <w:t xml:space="preserve"> 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800000"/>
          <w:sz w:val="72"/>
          <w:szCs w:val="72"/>
          <w:rtl w:val="0"/>
        </w:rPr>
        <w:t xml:space="preserve">Внимательно относитесь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b w:val="1"/>
          <w:color w:val="000000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800000"/>
          <w:sz w:val="72"/>
          <w:szCs w:val="72"/>
          <w:rtl w:val="0"/>
        </w:rPr>
        <w:t xml:space="preserve">к вашим детям!!!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